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8A" w:rsidRDefault="00EF4D8A" w:rsidP="00EF4D8A">
      <w:pPr>
        <w:pStyle w:val="Title"/>
        <w:rPr>
          <w:rFonts w:ascii="Arial" w:hAnsi="Arial" w:cs="Arial"/>
          <w:spacing w:val="10"/>
          <w:szCs w:val="28"/>
        </w:rPr>
      </w:pPr>
      <w:r w:rsidRPr="00124517">
        <w:rPr>
          <w:rFonts w:ascii="Arial" w:hAnsi="Arial" w:cs="Arial"/>
          <w:caps/>
          <w:spacing w:val="10"/>
          <w:szCs w:val="28"/>
        </w:rPr>
        <w:t>Compensation/Claims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EF4D8A" w:rsidRPr="004136C2" w:rsidRDefault="00EF4D8A" w:rsidP="00EF4D8A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EF4D8A" w:rsidRPr="00124517" w:rsidRDefault="00EF4D8A" w:rsidP="00EF4D8A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124517">
        <w:rPr>
          <w:rFonts w:cs="Arial"/>
          <w:spacing w:val="-3"/>
          <w:sz w:val="22"/>
          <w:szCs w:val="22"/>
        </w:rPr>
        <w:t>Responsible for receiving, investigating and documenting all claims reported to the hospital during the emergency incident</w:t>
      </w:r>
      <w:r>
        <w:rPr>
          <w:rFonts w:cs="Arial"/>
          <w:spacing w:val="-3"/>
          <w:sz w:val="22"/>
          <w:szCs w:val="22"/>
        </w:rPr>
        <w:t>,</w:t>
      </w:r>
      <w:r w:rsidRPr="00124517">
        <w:rPr>
          <w:rFonts w:cs="Arial"/>
          <w:spacing w:val="-3"/>
          <w:sz w:val="22"/>
          <w:szCs w:val="22"/>
        </w:rPr>
        <w:t xml:space="preserve"> which are alleged to be the result of an accident or action on hospital property.</w:t>
      </w:r>
    </w:p>
    <w:p w:rsidR="00EF4D8A" w:rsidRDefault="00EF4D8A" w:rsidP="00EF4D8A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EF4D8A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F65381" w:rsidRDefault="00EF4D8A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  <w:r w:rsidRPr="000810B5">
              <w:rPr>
                <w:rFonts w:cs="Arial"/>
                <w:spacing w:val="-3"/>
                <w:sz w:val="20"/>
                <w:szCs w:val="20"/>
              </w:rPr>
              <w:t>Initia</w:t>
            </w:r>
            <w:r>
              <w:rPr>
                <w:rFonts w:cs="Arial"/>
                <w:spacing w:val="-3"/>
                <w:sz w:val="20"/>
                <w:szCs w:val="20"/>
              </w:rPr>
              <w:t>ls</w:t>
            </w:r>
            <w:r w:rsidRPr="000810B5">
              <w:rPr>
                <w:rFonts w:cs="Arial"/>
                <w:spacing w:val="-3"/>
                <w:sz w:val="20"/>
                <w:szCs w:val="20"/>
              </w:rPr>
              <w:t>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F4D8A" w:rsidRPr="00F65381" w:rsidRDefault="00EF4D8A" w:rsidP="00B00764">
            <w:pPr>
              <w:tabs>
                <w:tab w:val="left" w:pos="540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3B3E57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Finance/Administration Section Chief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F4D8A" w:rsidRPr="00F65381" w:rsidRDefault="00EF4D8A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F4D8A" w:rsidRPr="0017260A" w:rsidRDefault="00EF4D8A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EF4D8A" w:rsidRDefault="00EF4D8A" w:rsidP="00EF4D8A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F4D8A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CC2375" w:rsidRDefault="00EF4D8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61204E" w:rsidRDefault="00EF4D8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61204E" w:rsidRDefault="00EF4D8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6E2160" w:rsidRDefault="00EF4D8A" w:rsidP="00B00764">
            <w:pPr>
              <w:rPr>
                <w:rFonts w:cs="Arial"/>
                <w:iCs/>
                <w:sz w:val="20"/>
                <w:szCs w:val="20"/>
              </w:rPr>
            </w:pPr>
            <w:r w:rsidRPr="006E2160">
              <w:rPr>
                <w:rFonts w:cs="Arial"/>
                <w:iCs/>
                <w:sz w:val="20"/>
                <w:szCs w:val="20"/>
              </w:rPr>
              <w:t>Receive appointment, briefing, and any appropriate materials from the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124517" w:rsidRDefault="00EF4D8A" w:rsidP="00B00764">
            <w:pPr>
              <w:rPr>
                <w:rFonts w:cs="Arial"/>
                <w:iCs/>
                <w:sz w:val="20"/>
                <w:szCs w:val="20"/>
              </w:rPr>
            </w:pPr>
            <w:r w:rsidRPr="00124517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124517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124517" w:rsidRDefault="00EF4D8A" w:rsidP="00B00764">
            <w:pPr>
              <w:rPr>
                <w:rFonts w:cs="Arial"/>
                <w:iCs/>
                <w:sz w:val="20"/>
                <w:szCs w:val="20"/>
              </w:rPr>
            </w:pPr>
            <w:r w:rsidRPr="00124517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124517" w:rsidRDefault="00EF4D8A" w:rsidP="00B00764">
            <w:pPr>
              <w:rPr>
                <w:rFonts w:cs="Arial"/>
                <w:iCs/>
                <w:sz w:val="20"/>
                <w:szCs w:val="20"/>
              </w:rPr>
            </w:pPr>
            <w:r w:rsidRPr="00124517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124517" w:rsidRDefault="00EF4D8A" w:rsidP="00B00764">
            <w:pPr>
              <w:rPr>
                <w:rFonts w:cs="Arial"/>
                <w:iCs/>
                <w:sz w:val="20"/>
                <w:szCs w:val="20"/>
              </w:rPr>
            </w:pPr>
            <w:r w:rsidRPr="000810B5">
              <w:rPr>
                <w:rFonts w:cs="Arial"/>
                <w:sz w:val="20"/>
                <w:szCs w:val="20"/>
              </w:rPr>
              <w:t>Appoint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124517" w:rsidRDefault="00EF4D8A" w:rsidP="00B00764">
            <w:pPr>
              <w:rPr>
                <w:rFonts w:cs="Arial"/>
                <w:iCs/>
                <w:sz w:val="20"/>
                <w:szCs w:val="20"/>
              </w:rPr>
            </w:pPr>
            <w:r w:rsidRPr="00124517">
              <w:rPr>
                <w:rFonts w:cs="Arial"/>
                <w:iCs/>
                <w:sz w:val="20"/>
                <w:szCs w:val="20"/>
              </w:rPr>
              <w:t xml:space="preserve">Brief Unit members on current situation, incident objectives, and strategy; outline </w:t>
            </w:r>
            <w:r>
              <w:rPr>
                <w:rFonts w:cs="Arial"/>
                <w:iCs/>
                <w:sz w:val="20"/>
                <w:szCs w:val="20"/>
              </w:rPr>
              <w:t>Unit</w:t>
            </w:r>
            <w:r w:rsidRPr="00124517">
              <w:rPr>
                <w:rFonts w:cs="Arial"/>
                <w:iCs/>
                <w:sz w:val="20"/>
                <w:szCs w:val="20"/>
              </w:rPr>
              <w:t xml:space="preserve">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124517" w:rsidRDefault="00EF4D8A" w:rsidP="00B00764">
            <w:pPr>
              <w:rPr>
                <w:rFonts w:cs="Arial"/>
                <w:iCs/>
                <w:sz w:val="20"/>
                <w:szCs w:val="20"/>
              </w:rPr>
            </w:pPr>
            <w:r w:rsidRPr="00124517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124517" w:rsidRDefault="00EF4D8A" w:rsidP="00B00764">
            <w:pPr>
              <w:rPr>
                <w:rFonts w:cs="Arial"/>
                <w:sz w:val="20"/>
                <w:szCs w:val="20"/>
              </w:rPr>
            </w:pPr>
            <w:r w:rsidRPr="00124517">
              <w:rPr>
                <w:rFonts w:cs="Arial"/>
                <w:sz w:val="20"/>
                <w:szCs w:val="20"/>
              </w:rPr>
              <w:t>Receive</w:t>
            </w:r>
            <w:r>
              <w:rPr>
                <w:rFonts w:cs="Arial"/>
                <w:sz w:val="20"/>
                <w:szCs w:val="20"/>
              </w:rPr>
              <w:t>, investigate</w:t>
            </w:r>
            <w:r w:rsidRPr="00124517">
              <w:rPr>
                <w:rFonts w:cs="Arial"/>
                <w:sz w:val="20"/>
                <w:szCs w:val="20"/>
              </w:rPr>
              <w:t xml:space="preserve"> and document claims issued by employees and non-employees.  Use photographs or video documentation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124517" w:rsidRDefault="00EF4D8A" w:rsidP="00B00764">
            <w:pPr>
              <w:rPr>
                <w:rFonts w:cs="Arial"/>
                <w:sz w:val="20"/>
                <w:szCs w:val="20"/>
              </w:rPr>
            </w:pPr>
            <w:r w:rsidRPr="00124517">
              <w:rPr>
                <w:rFonts w:cs="Arial"/>
                <w:sz w:val="20"/>
                <w:szCs w:val="20"/>
              </w:rPr>
              <w:t>Obtain statements as quickly as possible from all claimants and witnesses.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RPr="0012451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124517" w:rsidRDefault="00EF4D8A" w:rsidP="00B00764">
            <w:pPr>
              <w:rPr>
                <w:rFonts w:cs="Arial"/>
                <w:sz w:val="20"/>
                <w:szCs w:val="20"/>
              </w:rPr>
            </w:pPr>
            <w:r w:rsidRPr="00124517">
              <w:rPr>
                <w:rFonts w:cs="Arial"/>
                <w:sz w:val="20"/>
                <w:szCs w:val="20"/>
              </w:rPr>
              <w:t>Enlist the assistance of the Safety Officer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124517">
              <w:rPr>
                <w:rFonts w:cs="Arial"/>
                <w:sz w:val="20"/>
                <w:szCs w:val="20"/>
              </w:rPr>
              <w:t>Security Branch Director</w:t>
            </w:r>
            <w:r>
              <w:rPr>
                <w:rFonts w:cs="Arial"/>
                <w:sz w:val="20"/>
                <w:szCs w:val="20"/>
              </w:rPr>
              <w:t xml:space="preserve"> and Employee Health and Well-Being Unit Leader, as</w:t>
            </w:r>
            <w:r w:rsidRPr="0012451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needed</w:t>
            </w:r>
            <w:r w:rsidRPr="0012451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124517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CE483D" w:rsidRDefault="00EF4D8A" w:rsidP="00B00764">
            <w:pPr>
              <w:rPr>
                <w:rFonts w:cs="Arial"/>
                <w:sz w:val="20"/>
                <w:szCs w:val="20"/>
              </w:rPr>
            </w:pPr>
            <w:r w:rsidRPr="00CE483D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F4D8A" w:rsidRPr="00AF53FD" w:rsidRDefault="00EF4D8A" w:rsidP="00EF4D8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F4D8A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CC2375" w:rsidRDefault="00EF4D8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DA0966" w:rsidRDefault="00EF4D8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DA0966" w:rsidRDefault="00EF4D8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routinely with the Finance/Administration Section Chief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 the Finance/Administration Section Chief of all claims as they are reported.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claims on hospital risk/loss forms.  Coordinate with hospital Risk Management.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 records required by insurers, government and other agencies for loss recovery are accurately compiled, maintained, and available.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Develop and submit an action plan to the Finance/Administration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Finance/Administration Section Chief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F4D8A" w:rsidRPr="00AF53FD" w:rsidRDefault="00EF4D8A" w:rsidP="00EF4D8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</w:tblGrid>
      <w:tr w:rsidR="00EF4D8A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CC2375" w:rsidRDefault="00EF4D8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DA0966" w:rsidRDefault="00EF4D8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DA0966" w:rsidRDefault="00EF4D8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any cost incurred as a result of a claim to the Cost Unit Leader as soon as possible.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Prepare a summary of all claims reported during the incident every 8 hours and as requested.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Finance/Administration Section Chief at assigned intervals and as needed.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Leader.  Provide for staff rest periods and relief.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F4D8A" w:rsidRPr="00AF53FD" w:rsidRDefault="00EF4D8A" w:rsidP="00EF4D8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</w:tblGrid>
      <w:tr w:rsidR="00EF4D8A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DA0966" w:rsidRDefault="00EF4D8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DA0966" w:rsidRDefault="00EF4D8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DA0966" w:rsidRDefault="00EF4D8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Compensation/Claims Unit staff decrease, return staff to their usual jobs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Compile final claims report(s) and submit to Finance/Administration Section Chief.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Finance/Administration Section Chief.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Finance/Administration Section Chief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Pr="00205C9C" w:rsidRDefault="00EF4D8A" w:rsidP="00B00764">
            <w:p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Finance/Administration Section Chief</w:t>
            </w:r>
            <w:r w:rsidRPr="00205C9C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EF4D8A" w:rsidRPr="00205C9C" w:rsidRDefault="00EF4D8A" w:rsidP="00EF4D8A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EF4D8A" w:rsidRPr="00205C9C" w:rsidRDefault="00EF4D8A" w:rsidP="00EF4D8A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EF4D8A" w:rsidRPr="00205C9C" w:rsidRDefault="00EF4D8A" w:rsidP="00EF4D8A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F4D8A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Default="00EF4D8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F4D8A" w:rsidRPr="00AF53FD" w:rsidRDefault="00EF4D8A" w:rsidP="00EF4D8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EF4D8A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F4D8A" w:rsidRPr="00DA0966" w:rsidRDefault="00EF4D8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EF4D8A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F4D8A" w:rsidRDefault="00EF4D8A" w:rsidP="00EF4D8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EF4D8A" w:rsidRDefault="00EF4D8A" w:rsidP="00EF4D8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EF4D8A" w:rsidRPr="00460101" w:rsidRDefault="00EF4D8A" w:rsidP="00EF4D8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lastRenderedPageBreak/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EF4D8A" w:rsidRPr="00460101" w:rsidRDefault="00EF4D8A" w:rsidP="00EF4D8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EF4D8A" w:rsidRDefault="00EF4D8A" w:rsidP="00EF4D8A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EF4D8A" w:rsidRPr="00460101" w:rsidRDefault="00EF4D8A" w:rsidP="00EF4D8A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EF4D8A" w:rsidRPr="00460101" w:rsidRDefault="00EF4D8A" w:rsidP="00EF4D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EF4D8A" w:rsidRPr="00460101" w:rsidRDefault="00EF4D8A" w:rsidP="00EF4D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EF4D8A" w:rsidRDefault="00EF4D8A" w:rsidP="00EF4D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EF4D8A" w:rsidRDefault="00EF4D8A" w:rsidP="00EF4D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Standard claims protocol/procedure</w:t>
            </w:r>
          </w:p>
          <w:p w:rsidR="00EF4D8A" w:rsidRDefault="00EF4D8A" w:rsidP="00EF4D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Insurer information</w:t>
            </w:r>
          </w:p>
          <w:p w:rsidR="00EF4D8A" w:rsidRDefault="00EF4D8A" w:rsidP="00EF4D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Relevant government protocols</w:t>
            </w:r>
          </w:p>
          <w:p w:rsidR="00EF4D8A" w:rsidRPr="00460101" w:rsidRDefault="00EF4D8A" w:rsidP="00EF4D8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Claims log form</w:t>
            </w:r>
          </w:p>
        </w:tc>
      </w:tr>
    </w:tbl>
    <w:p w:rsidR="003E48B7" w:rsidRPr="00B16C32" w:rsidRDefault="00EF4D8A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170BC"/>
    <w:rsid w:val="00127397"/>
    <w:rsid w:val="001503ED"/>
    <w:rsid w:val="00160370"/>
    <w:rsid w:val="00182EE2"/>
    <w:rsid w:val="001B262C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E56A3"/>
    <w:rsid w:val="00E257D2"/>
    <w:rsid w:val="00E315EE"/>
    <w:rsid w:val="00EA43A7"/>
    <w:rsid w:val="00ED598F"/>
    <w:rsid w:val="00EF4D8A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Company>Columbus Regional Healthcare System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2012-09-25T18:33:00Z</dcterms:created>
  <dcterms:modified xsi:type="dcterms:W3CDTF">2012-09-25T18:33:00Z</dcterms:modified>
</cp:coreProperties>
</file>